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0"/>
      </w:tblGrid>
      <w:tr w:rsidR="001A22CE" w:rsidRPr="001A22CE" w:rsidTr="001A22CE">
        <w:trPr>
          <w:trHeight w:val="307"/>
        </w:trPr>
        <w:tc>
          <w:tcPr>
            <w:tcW w:w="15600" w:type="dxa"/>
            <w:tcBorders>
              <w:top w:val="single" w:sz="6" w:space="0" w:color="D4D4D4"/>
              <w:left w:val="single" w:sz="6" w:space="0" w:color="D4D4D4"/>
              <w:bottom w:val="single" w:sz="6" w:space="0" w:color="D4D4D4"/>
              <w:right w:val="single" w:sz="6" w:space="0" w:color="D4D4D4"/>
            </w:tcBorders>
            <w:shd w:val="clear" w:color="auto" w:fill="660033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pt-PT"/>
              </w:rPr>
            </w:pPr>
            <w:bookmarkStart w:id="0" w:name="_GoBack"/>
            <w:bookmarkEnd w:id="0"/>
            <w:r w:rsidRPr="001A22CE">
              <w:rPr>
                <w:rFonts w:ascii="Calibri" w:eastAsia="Times New Roman" w:hAnsi="Calibri" w:cs="Calibri"/>
                <w:b/>
                <w:bCs/>
                <w:color w:val="FFFFFF"/>
                <w:sz w:val="40"/>
                <w:szCs w:val="40"/>
                <w:bdr w:val="none" w:sz="0" w:space="0" w:color="auto" w:frame="1"/>
                <w:lang w:eastAsia="pt-PT"/>
              </w:rPr>
              <w:t>Caracterização Serviços Urgência / Medicina Interna</w:t>
            </w:r>
          </w:p>
        </w:tc>
      </w:tr>
      <w:tr w:rsidR="001A22CE" w:rsidRPr="001A22CE" w:rsidTr="001A22CE">
        <w:trPr>
          <w:trHeight w:val="229"/>
        </w:trPr>
        <w:tc>
          <w:tcPr>
            <w:tcW w:w="156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  <w:tcMar>
              <w:top w:w="10" w:type="dxa"/>
              <w:left w:w="10" w:type="dxa"/>
              <w:bottom w:w="47" w:type="dxa"/>
              <w:right w:w="10" w:type="dxa"/>
            </w:tcMar>
            <w:vAlign w:val="bottom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  <w:bdr w:val="none" w:sz="0" w:space="0" w:color="auto" w:frame="1"/>
                <w:lang w:eastAsia="pt-PT"/>
              </w:rPr>
              <w:t>Questões</w:t>
            </w:r>
          </w:p>
        </w:tc>
      </w:tr>
      <w:tr w:rsidR="001A22CE" w:rsidRPr="001A22CE" w:rsidTr="001A22CE">
        <w:trPr>
          <w:trHeight w:val="508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color w:val="000000"/>
                <w:sz w:val="32"/>
                <w:szCs w:val="32"/>
                <w:bdr w:val="none" w:sz="0" w:space="0" w:color="auto" w:frame="1"/>
                <w:lang w:eastAsia="pt-PT"/>
              </w:rPr>
              <w:t>Identificação do Serviço/Hospital</w:t>
            </w:r>
          </w:p>
        </w:tc>
      </w:tr>
      <w:tr w:rsidR="001A22CE" w:rsidRPr="001A22CE" w:rsidTr="001A22CE">
        <w:trPr>
          <w:trHeight w:val="615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Os Internistas estão envolvidos no SU, na Urgência Interna ou em ambas</w:t>
            </w: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 (apagar o que não interessa)</w:t>
            </w:r>
          </w:p>
        </w:tc>
      </w:tr>
      <w:tr w:rsidR="001A22CE" w:rsidRPr="001A22CE" w:rsidTr="001A22CE">
        <w:trPr>
          <w:trHeight w:val="615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FF0F5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Nº de médicos de Medicina Interna  constitui a equipa de Medicina Interna </w:t>
            </w: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(dos quais _ Especialistas e _ Internos)</w:t>
            </w:r>
          </w:p>
        </w:tc>
      </w:tr>
      <w:tr w:rsidR="001A22CE" w:rsidRPr="001A22CE" w:rsidTr="001A22CE">
        <w:trPr>
          <w:trHeight w:val="615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Há uma ideia aproximada do nº de </w:t>
            </w:r>
            <w:proofErr w:type="spellStart"/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Êpisódios</w:t>
            </w:r>
            <w:proofErr w:type="spellEnd"/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 de Urgência observados por ano no SU?</w:t>
            </w:r>
          </w:p>
        </w:tc>
      </w:tr>
      <w:tr w:rsidR="001A22CE" w:rsidRPr="001A22CE" w:rsidTr="001A22CE">
        <w:trPr>
          <w:trHeight w:val="615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O Número de médicos na Equipa é suficiente para suprir as necessidades conforme estipulado no Regulamento de Constituição das Equipas de Urgência?  </w:t>
            </w:r>
            <w:r w:rsidRPr="001A22CE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- Resposta SIM/NÃO </w:t>
            </w: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– Comentários (opcional)</w:t>
            </w:r>
          </w:p>
        </w:tc>
      </w:tr>
      <w:tr w:rsidR="001A22CE" w:rsidRPr="001A22CE" w:rsidTr="001A22CE">
        <w:trPr>
          <w:trHeight w:val="879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Que funções assistenciais exercem os Internistas</w:t>
            </w: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: </w:t>
            </w:r>
            <w:r w:rsidRPr="001A22CE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(Apagar os que não interessem)</w:t>
            </w:r>
          </w:p>
          <w:p w:rsidR="001A22CE" w:rsidRPr="001A22CE" w:rsidRDefault="001A22CE" w:rsidP="001A22CE">
            <w:pPr>
              <w:spacing w:after="0" w:line="240" w:lineRule="auto"/>
              <w:ind w:hanging="547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inherit" w:eastAsia="Times New Roman" w:hAnsi="inherit" w:cs="Arial"/>
                <w:sz w:val="30"/>
                <w:szCs w:val="30"/>
                <w:bdr w:val="none" w:sz="0" w:space="0" w:color="auto" w:frame="1"/>
                <w:lang w:eastAsia="pt-PT"/>
              </w:rPr>
              <w:t>1.</w:t>
            </w: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Observação de Prioridade Laranja; 2 Observação de Prioridade Vermelha; 3. Observação de Prioridade Amarela;</w:t>
            </w:r>
          </w:p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4. Observação de Prioridades Verde/Azul; 5. Sala de Emergência; 6. Sala de Observações </w:t>
            </w:r>
          </w:p>
        </w:tc>
      </w:tr>
      <w:tr w:rsidR="001A22CE" w:rsidRPr="001A22CE" w:rsidTr="001A22CE">
        <w:trPr>
          <w:trHeight w:val="694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OS Internistas estão responsáveis da Via Verde do AVC, Via Verde Coronária ou Via Verde da </w:t>
            </w:r>
            <w:proofErr w:type="spellStart"/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Sépsis</w:t>
            </w:r>
            <w:proofErr w:type="spellEnd"/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 </w:t>
            </w:r>
            <w:r w:rsidRPr="001A22CE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(apagar o que não interessa)</w:t>
            </w: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 </w:t>
            </w:r>
          </w:p>
        </w:tc>
      </w:tr>
      <w:tr w:rsidR="001A22CE" w:rsidRPr="001A22CE" w:rsidTr="001A22CE">
        <w:trPr>
          <w:trHeight w:val="869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BF7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Os Internistas Asseguram Urgência Interna em escala própria, ou é a equipa de Urgência que também desempenha estas funções ?</w:t>
            </w:r>
          </w:p>
        </w:tc>
      </w:tr>
      <w:tr w:rsidR="001A22CE" w:rsidRPr="001A22CE" w:rsidTr="001A22CE">
        <w:trPr>
          <w:trHeight w:val="772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OS Internistas ocupam cargos de Liderança: Chefia de Equipa (quantas) ou </w:t>
            </w:r>
            <w:proofErr w:type="spellStart"/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Direcção</w:t>
            </w:r>
            <w:proofErr w:type="spellEnd"/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 do SU? (apagar o que não interessa)</w:t>
            </w:r>
          </w:p>
        </w:tc>
      </w:tr>
      <w:tr w:rsidR="001A22CE" w:rsidRPr="001A22CE" w:rsidTr="001A22CE">
        <w:trPr>
          <w:trHeight w:val="811"/>
        </w:trPr>
        <w:tc>
          <w:tcPr>
            <w:tcW w:w="15600" w:type="dxa"/>
            <w:tcBorders>
              <w:top w:val="single" w:sz="4" w:space="0" w:color="000000"/>
              <w:left w:val="single" w:sz="8" w:space="0" w:color="000000"/>
              <w:bottom w:val="single" w:sz="6" w:space="0" w:color="D4D4D4"/>
              <w:right w:val="single" w:sz="4" w:space="0" w:color="000000"/>
            </w:tcBorders>
            <w:shd w:val="clear" w:color="auto" w:fill="DDEBF7"/>
            <w:tcMar>
              <w:top w:w="10" w:type="dxa"/>
              <w:left w:w="10" w:type="dxa"/>
              <w:bottom w:w="47" w:type="dxa"/>
              <w:right w:w="10" w:type="dxa"/>
            </w:tcMar>
            <w:vAlign w:val="center"/>
            <w:hideMark/>
          </w:tcPr>
          <w:p w:rsidR="001A22CE" w:rsidRPr="001A22CE" w:rsidRDefault="001A22CE" w:rsidP="001A22CE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0"/>
                <w:szCs w:val="30"/>
                <w:lang w:eastAsia="pt-PT"/>
              </w:rPr>
            </w:pPr>
            <w:r w:rsidRPr="001A22CE">
              <w:rPr>
                <w:rFonts w:ascii="Calibri" w:eastAsia="Times New Roman" w:hAnsi="Calibri" w:cs="Calibri"/>
                <w:color w:val="000000"/>
                <w:sz w:val="30"/>
                <w:szCs w:val="30"/>
                <w:bdr w:val="none" w:sz="0" w:space="0" w:color="auto" w:frame="1"/>
                <w:lang w:eastAsia="pt-PT"/>
              </w:rPr>
              <w:t>O apoio ao Serviço de Urgência colapsará por causa da escusa de realização de horas extraordinárias acima de 150h/ano? De que forma? Encerramento completo(parcial?</w:t>
            </w:r>
          </w:p>
        </w:tc>
      </w:tr>
    </w:tbl>
    <w:p w:rsidR="00E43370" w:rsidRDefault="00E43370" w:rsidP="001A22CE"/>
    <w:sectPr w:rsidR="00E43370" w:rsidSect="001A22CE">
      <w:pgSz w:w="16838" w:h="11906" w:orient="landscape"/>
      <w:pgMar w:top="142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55"/>
    <w:rsid w:val="001A22CE"/>
    <w:rsid w:val="00783B55"/>
    <w:rsid w:val="00E4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89686"/>
  <w15:chartTrackingRefBased/>
  <w15:docId w15:val="{43C797FF-1A97-4CC3-ADD7-AD5CCAA6A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5748">
                  <w:marLeft w:val="54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Miguel Guimarães Marques Cunha</dc:creator>
  <cp:keywords/>
  <dc:description/>
  <cp:lastModifiedBy>Pedro Miguel Guimarães Marques Cunha</cp:lastModifiedBy>
  <cp:revision>2</cp:revision>
  <dcterms:created xsi:type="dcterms:W3CDTF">2023-10-03T15:55:00Z</dcterms:created>
  <dcterms:modified xsi:type="dcterms:W3CDTF">2023-10-03T15:58:00Z</dcterms:modified>
</cp:coreProperties>
</file>